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04" w:rsidRPr="004D04A3" w:rsidRDefault="00B04995">
      <w:pPr>
        <w:pStyle w:val="Default"/>
        <w:spacing w:line="480" w:lineRule="exact"/>
        <w:ind w:left="849" w:hanging="849"/>
        <w:jc w:val="center"/>
        <w:rPr>
          <w:sz w:val="36"/>
          <w:szCs w:val="36"/>
        </w:rPr>
      </w:pPr>
      <w:r w:rsidRPr="00B04995">
        <w:rPr>
          <w:rFonts w:cs="新細明體" w:hint="eastAsia"/>
          <w:b/>
          <w:bCs/>
          <w:color w:val="auto"/>
          <w:sz w:val="36"/>
          <w:szCs w:val="36"/>
        </w:rPr>
        <w:t>高雄市</w:t>
      </w:r>
      <w:bookmarkStart w:id="0" w:name="_GoBack"/>
      <w:bookmarkEnd w:id="0"/>
      <w:r w:rsidR="004D04A3" w:rsidRPr="004D04A3">
        <w:rPr>
          <w:rFonts w:cs="新細明體" w:hint="eastAsia"/>
          <w:b/>
          <w:bCs/>
          <w:color w:val="auto"/>
          <w:sz w:val="36"/>
          <w:szCs w:val="36"/>
        </w:rPr>
        <w:t>新庄</w:t>
      </w:r>
      <w:r w:rsidR="00B20B18" w:rsidRPr="004D04A3">
        <w:rPr>
          <w:rFonts w:cs="新細明體"/>
          <w:b/>
          <w:bCs/>
          <w:color w:val="auto"/>
          <w:sz w:val="36"/>
          <w:szCs w:val="36"/>
        </w:rPr>
        <w:t>國小校外人士協助教學或活動要點</w:t>
      </w:r>
    </w:p>
    <w:p w:rsidR="004A6304" w:rsidRPr="002703B6" w:rsidRDefault="002703B6" w:rsidP="002703B6">
      <w:pPr>
        <w:pStyle w:val="Default"/>
        <w:spacing w:line="480" w:lineRule="exact"/>
        <w:ind w:right="1120"/>
        <w:rPr>
          <w:rFonts w:cs="Times New Roman"/>
          <w:color w:val="auto"/>
        </w:rPr>
      </w:pPr>
      <w:r>
        <w:rPr>
          <w:rFonts w:cs="Times New Roman" w:hint="eastAsia"/>
          <w:color w:val="auto"/>
        </w:rPr>
        <w:t xml:space="preserve">                                                     </w:t>
      </w:r>
      <w:r w:rsidRPr="002703B6">
        <w:rPr>
          <w:rFonts w:cs="Times New Roman" w:hint="eastAsia"/>
          <w:color w:val="auto"/>
        </w:rPr>
        <w:t>經108.9.2校務會議通過</w:t>
      </w:r>
    </w:p>
    <w:p w:rsidR="004A6304" w:rsidRDefault="004D04A3" w:rsidP="004D04A3">
      <w:pPr>
        <w:pStyle w:val="Default"/>
        <w:numPr>
          <w:ilvl w:val="0"/>
          <w:numId w:val="1"/>
        </w:numPr>
        <w:spacing w:line="480" w:lineRule="exact"/>
        <w:ind w:left="709" w:hanging="709"/>
      </w:pPr>
      <w:r w:rsidRPr="004D04A3">
        <w:rPr>
          <w:rFonts w:cs="新細明體" w:hint="eastAsia"/>
          <w:bCs/>
          <w:color w:val="auto"/>
          <w:sz w:val="28"/>
          <w:szCs w:val="28"/>
        </w:rPr>
        <w:t>新庄</w:t>
      </w:r>
      <w:r w:rsidR="00B20B18">
        <w:rPr>
          <w:rFonts w:cs="新細明體"/>
          <w:bCs/>
          <w:color w:val="auto"/>
          <w:sz w:val="28"/>
          <w:szCs w:val="28"/>
        </w:rPr>
        <w:t>國小</w:t>
      </w:r>
      <w:r w:rsidR="00B20B18">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4A6304" w:rsidRDefault="00B20B1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4A6304" w:rsidRDefault="00B20B1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4A6304" w:rsidRPr="00264E66" w:rsidRDefault="00B20B18">
      <w:pPr>
        <w:pStyle w:val="Default"/>
        <w:spacing w:line="480" w:lineRule="exact"/>
        <w:ind w:left="709"/>
        <w:rPr>
          <w:rFonts w:cs="新細明體"/>
          <w:b/>
          <w:bCs/>
          <w:color w:val="FF0000"/>
          <w:sz w:val="28"/>
          <w:szCs w:val="28"/>
        </w:rPr>
      </w:pPr>
      <w:r w:rsidRPr="00264E66">
        <w:rPr>
          <w:rFonts w:cs="新細明體"/>
          <w:b/>
          <w:bCs/>
          <w:color w:val="FF0000"/>
          <w:sz w:val="28"/>
          <w:szCs w:val="28"/>
        </w:rPr>
        <w:t>（一）犯性侵害犯罪防治法第二條第一項所定之罪，經有罪判決確定。</w:t>
      </w:r>
    </w:p>
    <w:p w:rsidR="004A6304" w:rsidRPr="00264E66" w:rsidRDefault="00B20B18">
      <w:pPr>
        <w:pStyle w:val="Default"/>
        <w:spacing w:line="480" w:lineRule="exact"/>
        <w:ind w:left="1562" w:hanging="854"/>
        <w:rPr>
          <w:rFonts w:cs="新細明體"/>
          <w:b/>
          <w:bCs/>
          <w:color w:val="FF0000"/>
          <w:sz w:val="28"/>
          <w:szCs w:val="28"/>
        </w:rPr>
      </w:pPr>
      <w:r w:rsidRPr="00264E66">
        <w:rPr>
          <w:rFonts w:cs="新細明體"/>
          <w:b/>
          <w:bCs/>
          <w:color w:val="FF0000"/>
          <w:sz w:val="28"/>
          <w:szCs w:val="28"/>
        </w:rPr>
        <w:t>（二）受兒童及少年性剝削防制條例規定處罰，或受性騷擾防治法第二十條或第二十五條規定處罰。</w:t>
      </w:r>
    </w:p>
    <w:p w:rsidR="004A6304" w:rsidRPr="00264E66" w:rsidRDefault="00B20B18">
      <w:pPr>
        <w:pStyle w:val="Default"/>
        <w:spacing w:line="480" w:lineRule="exact"/>
        <w:ind w:left="1562" w:hanging="854"/>
        <w:rPr>
          <w:rFonts w:cs="新細明體"/>
          <w:b/>
          <w:bCs/>
          <w:color w:val="FF0000"/>
          <w:sz w:val="28"/>
          <w:szCs w:val="28"/>
        </w:rPr>
      </w:pPr>
      <w:r w:rsidRPr="00264E66">
        <w:rPr>
          <w:rFonts w:cs="新細明體"/>
          <w:b/>
          <w:bCs/>
          <w:color w:val="FF0000"/>
          <w:sz w:val="28"/>
          <w:szCs w:val="28"/>
        </w:rPr>
        <w:t>（三）經各級社政主管機關依兒童及少年福利與權益保障法第九十七條規定處罰。</w:t>
      </w:r>
    </w:p>
    <w:p w:rsidR="004A6304" w:rsidRPr="00264E66" w:rsidRDefault="00B20B18">
      <w:pPr>
        <w:pStyle w:val="Default"/>
        <w:spacing w:line="480" w:lineRule="exact"/>
        <w:ind w:left="1562" w:hanging="854"/>
        <w:rPr>
          <w:rFonts w:cs="新細明體"/>
          <w:b/>
          <w:bCs/>
          <w:color w:val="FF0000"/>
          <w:sz w:val="28"/>
          <w:szCs w:val="28"/>
        </w:rPr>
      </w:pPr>
      <w:r w:rsidRPr="00264E66">
        <w:rPr>
          <w:rFonts w:cs="新細明體"/>
          <w:b/>
          <w:bCs/>
          <w:color w:val="FF0000"/>
          <w:sz w:val="28"/>
          <w:szCs w:val="28"/>
        </w:rPr>
        <w:t>（四）曾體罰或霸凌學生，造成其身心嚴重侵害。</w:t>
      </w:r>
    </w:p>
    <w:p w:rsidR="004A6304" w:rsidRPr="00264E66" w:rsidRDefault="00B20B18">
      <w:pPr>
        <w:pStyle w:val="Default"/>
        <w:spacing w:line="480" w:lineRule="exact"/>
        <w:ind w:left="1562" w:hanging="854"/>
        <w:rPr>
          <w:rFonts w:cs="新細明體"/>
          <w:b/>
          <w:bCs/>
          <w:color w:val="FF0000"/>
          <w:sz w:val="28"/>
          <w:szCs w:val="28"/>
        </w:rPr>
      </w:pPr>
      <w:r w:rsidRPr="00264E66">
        <w:rPr>
          <w:rFonts w:cs="新細明體"/>
          <w:b/>
          <w:bCs/>
          <w:color w:val="FF0000"/>
          <w:sz w:val="28"/>
          <w:szCs w:val="28"/>
        </w:rPr>
        <w:t>（五）有性別平等教育法第二十七之一條第一項第一、二款及同條第三項之情形者。</w:t>
      </w:r>
    </w:p>
    <w:p w:rsidR="004A6304" w:rsidRDefault="00B20B18">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4A6304" w:rsidRPr="00264E66" w:rsidRDefault="00B20B18">
      <w:pPr>
        <w:pStyle w:val="Default"/>
        <w:numPr>
          <w:ilvl w:val="0"/>
          <w:numId w:val="1"/>
        </w:numPr>
        <w:spacing w:line="480" w:lineRule="exact"/>
        <w:ind w:left="709" w:hanging="709"/>
        <w:rPr>
          <w:rFonts w:cs="新細明體"/>
          <w:bCs/>
          <w:color w:val="auto"/>
          <w:sz w:val="28"/>
          <w:szCs w:val="28"/>
        </w:rPr>
      </w:pPr>
      <w:r w:rsidRPr="00264E66">
        <w:rPr>
          <w:rFonts w:cs="新細明體"/>
          <w:bCs/>
          <w:color w:val="auto"/>
          <w:sz w:val="28"/>
          <w:szCs w:val="28"/>
        </w:rPr>
        <w:t>校外人士協助教學或活動之課程，分為部定、校訂課程及非部定、校訂課程，校外人士協助教學時，</w:t>
      </w:r>
      <w:r w:rsidRPr="00264E66">
        <w:rPr>
          <w:rFonts w:cs="新細明體"/>
          <w:b/>
          <w:bCs/>
          <w:color w:val="FF0000"/>
          <w:sz w:val="28"/>
          <w:szCs w:val="28"/>
        </w:rPr>
        <w:t>原授課教師或導師均應在場</w:t>
      </w:r>
      <w:r w:rsidRPr="00264E66">
        <w:rPr>
          <w:rFonts w:cs="新細明體"/>
          <w:bCs/>
          <w:color w:val="auto"/>
          <w:sz w:val="28"/>
          <w:szCs w:val="28"/>
        </w:rPr>
        <w:t>；其課程及教材，應依下列規定辦理：</w:t>
      </w:r>
    </w:p>
    <w:p w:rsidR="004A6304" w:rsidRDefault="00B20B18">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4A6304" w:rsidRPr="00264E66" w:rsidRDefault="00B20B18">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w:t>
      </w:r>
      <w:r w:rsidRPr="00264E66">
        <w:rPr>
          <w:rFonts w:cs="新細明體"/>
          <w:b/>
          <w:bCs/>
          <w:color w:val="FF0000"/>
          <w:sz w:val="28"/>
          <w:szCs w:val="28"/>
        </w:rPr>
        <w:t>並於</w:t>
      </w:r>
      <w:r w:rsidR="004D04A3" w:rsidRPr="00264E66">
        <w:rPr>
          <w:rFonts w:cs="新細明體" w:hint="eastAsia"/>
          <w:b/>
          <w:bCs/>
          <w:color w:val="FF0000"/>
          <w:sz w:val="28"/>
          <w:szCs w:val="28"/>
        </w:rPr>
        <w:t>二</w:t>
      </w:r>
      <w:r w:rsidRPr="00264E66">
        <w:rPr>
          <w:rFonts w:cs="新細明體"/>
          <w:b/>
          <w:bCs/>
          <w:color w:val="FF0000"/>
          <w:sz w:val="28"/>
          <w:szCs w:val="28"/>
        </w:rPr>
        <w:t>週前提出申請表，由本校組成審查小組（審查小組成員包含行政人員、教師代表、家長代表）進行審查</w:t>
      </w:r>
      <w:r w:rsidRPr="00264E66">
        <w:rPr>
          <w:rFonts w:cs="新細明體"/>
          <w:bCs/>
          <w:color w:val="FF0000"/>
          <w:sz w:val="28"/>
          <w:szCs w:val="28"/>
        </w:rPr>
        <w:t>，</w:t>
      </w:r>
      <w:r w:rsidRPr="00264E66">
        <w:rPr>
          <w:rFonts w:cs="新細明體"/>
          <w:bCs/>
          <w:color w:val="auto"/>
          <w:sz w:val="28"/>
          <w:szCs w:val="28"/>
        </w:rPr>
        <w:t>並</w:t>
      </w:r>
      <w:r w:rsidRPr="00264E66">
        <w:rPr>
          <w:rFonts w:cs="新細明體"/>
          <w:bCs/>
          <w:color w:val="auto"/>
          <w:sz w:val="28"/>
          <w:szCs w:val="28"/>
        </w:rPr>
        <w:lastRenderedPageBreak/>
        <w:t>以書面、網站或其他多元管道，向學生及家長說明。</w:t>
      </w:r>
    </w:p>
    <w:p w:rsidR="004A6304" w:rsidRDefault="00B20B18">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4A6304" w:rsidRDefault="00B20B18">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4A6304" w:rsidRDefault="00B20B1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w:t>
      </w:r>
      <w:r w:rsidRPr="00264E66">
        <w:rPr>
          <w:rFonts w:cs="新細明體"/>
          <w:b/>
          <w:bCs/>
          <w:color w:val="FF0000"/>
          <w:sz w:val="28"/>
          <w:szCs w:val="28"/>
        </w:rPr>
        <w:t>應遵守十二年國民基本教育課程綱要、相關法規（如教育基本法、性別平等教育法）及國際人權公約（如消除對婦女一切形式歧視公約、兒童權利公約、身心障礙者權利公約）之規定。</w:t>
      </w:r>
    </w:p>
    <w:p w:rsidR="004A6304" w:rsidRDefault="00B20B1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4A6304" w:rsidRDefault="00B20B18">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4A6304" w:rsidRDefault="00B20B18">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4A6304" w:rsidRDefault="00B20B18">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4A6304" w:rsidRDefault="00B20B18">
      <w:pPr>
        <w:pStyle w:val="Default"/>
        <w:spacing w:line="480" w:lineRule="exact"/>
        <w:ind w:left="709"/>
        <w:rPr>
          <w:rFonts w:cs="新細明體"/>
          <w:bCs/>
          <w:color w:val="auto"/>
          <w:sz w:val="28"/>
          <w:szCs w:val="28"/>
        </w:rPr>
      </w:pPr>
      <w:r>
        <w:rPr>
          <w:rFonts w:cs="新細明體"/>
          <w:bCs/>
          <w:color w:val="auto"/>
          <w:sz w:val="28"/>
          <w:szCs w:val="28"/>
        </w:rPr>
        <w:t>（四）不得為特定</w:t>
      </w:r>
      <w:r w:rsidRPr="00264E66">
        <w:rPr>
          <w:rFonts w:cs="新細明體"/>
          <w:b/>
          <w:bCs/>
          <w:color w:val="FF0000"/>
          <w:sz w:val="28"/>
          <w:szCs w:val="28"/>
        </w:rPr>
        <w:t>政治團體或宗教信仰</w:t>
      </w:r>
      <w:r>
        <w:rPr>
          <w:rFonts w:cs="新細明體"/>
          <w:bCs/>
          <w:color w:val="auto"/>
          <w:sz w:val="28"/>
          <w:szCs w:val="28"/>
        </w:rPr>
        <w:t>從事宣傳或活動。</w:t>
      </w:r>
    </w:p>
    <w:p w:rsidR="004A6304" w:rsidRDefault="00B20B18">
      <w:pPr>
        <w:pStyle w:val="Default"/>
        <w:spacing w:line="480" w:lineRule="exact"/>
        <w:ind w:left="709"/>
        <w:rPr>
          <w:rFonts w:cs="新細明體"/>
          <w:bCs/>
          <w:color w:val="auto"/>
          <w:sz w:val="28"/>
          <w:szCs w:val="28"/>
        </w:rPr>
      </w:pPr>
      <w:r>
        <w:rPr>
          <w:rFonts w:cs="新細明體"/>
          <w:bCs/>
          <w:color w:val="auto"/>
          <w:sz w:val="28"/>
          <w:szCs w:val="28"/>
        </w:rPr>
        <w:t>（五）不得有</w:t>
      </w:r>
      <w:r w:rsidRPr="00264E66">
        <w:rPr>
          <w:rFonts w:cs="新細明體"/>
          <w:b/>
          <w:bCs/>
          <w:color w:val="FF0000"/>
          <w:sz w:val="28"/>
          <w:szCs w:val="28"/>
        </w:rPr>
        <w:t>商業或為其他利益衝突</w:t>
      </w:r>
      <w:r>
        <w:rPr>
          <w:rFonts w:cs="新細明體"/>
          <w:bCs/>
          <w:color w:val="auto"/>
          <w:sz w:val="28"/>
          <w:szCs w:val="28"/>
        </w:rPr>
        <w:t>之行為。</w:t>
      </w:r>
    </w:p>
    <w:p w:rsidR="004A6304" w:rsidRDefault="00B20B18">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4A6304" w:rsidRDefault="00B20B1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4A6304" w:rsidRDefault="00B20B1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4A6304" w:rsidRDefault="00B20B1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4A6304" w:rsidRDefault="00B20B1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CA1884" w:rsidRPr="00264E66">
        <w:rPr>
          <w:rFonts w:cs="新細明體" w:hint="eastAsia"/>
          <w:b/>
          <w:bCs/>
          <w:color w:val="FF0000"/>
          <w:sz w:val="28"/>
          <w:szCs w:val="28"/>
        </w:rPr>
        <w:t>學務</w:t>
      </w:r>
      <w:r w:rsidRPr="00264E66">
        <w:rPr>
          <w:rFonts w:cs="新細明體"/>
          <w:b/>
          <w:bCs/>
          <w:color w:val="FF0000"/>
          <w:sz w:val="28"/>
          <w:szCs w:val="28"/>
        </w:rPr>
        <w:t>處</w:t>
      </w:r>
      <w:r>
        <w:rPr>
          <w:rFonts w:cs="新細明體"/>
          <w:bCs/>
          <w:color w:val="auto"/>
          <w:sz w:val="28"/>
          <w:szCs w:val="28"/>
        </w:rPr>
        <w:t>負責校外人士協助教學或活動及家長諮詢、申訴之相關事項。</w:t>
      </w:r>
    </w:p>
    <w:p w:rsidR="004A6304" w:rsidRDefault="00B20B18">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4A6304" w:rsidRDefault="00B20B18">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4A6304" w:rsidRDefault="00B20B18">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4A6304">
      <w:footerReference w:type="default" r:id="rId8"/>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92" w:rsidRDefault="00A03B92">
      <w:r>
        <w:separator/>
      </w:r>
    </w:p>
  </w:endnote>
  <w:endnote w:type="continuationSeparator" w:id="0">
    <w:p w:rsidR="00A03B92" w:rsidRDefault="00A0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83" w:rsidRDefault="00B20B18">
    <w:pPr>
      <w:pStyle w:val="a4"/>
      <w:jc w:val="center"/>
    </w:pPr>
    <w:r>
      <w:rPr>
        <w:lang w:val="zh-TW"/>
      </w:rPr>
      <w:fldChar w:fldCharType="begin"/>
    </w:r>
    <w:r>
      <w:rPr>
        <w:lang w:val="zh-TW"/>
      </w:rPr>
      <w:instrText xml:space="preserve"> PAGE </w:instrText>
    </w:r>
    <w:r>
      <w:rPr>
        <w:lang w:val="zh-TW"/>
      </w:rPr>
      <w:fldChar w:fldCharType="separate"/>
    </w:r>
    <w:r w:rsidR="00B04995">
      <w:rPr>
        <w:noProof/>
        <w:lang w:val="zh-TW"/>
      </w:rPr>
      <w:t>2</w:t>
    </w:r>
    <w:r>
      <w:rPr>
        <w:lang w:val="zh-TW"/>
      </w:rPr>
      <w:fldChar w:fldCharType="end"/>
    </w:r>
  </w:p>
  <w:p w:rsidR="004C7A83" w:rsidRDefault="00A03B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92" w:rsidRDefault="00A03B92">
      <w:r>
        <w:rPr>
          <w:color w:val="000000"/>
        </w:rPr>
        <w:separator/>
      </w:r>
    </w:p>
  </w:footnote>
  <w:footnote w:type="continuationSeparator" w:id="0">
    <w:p w:rsidR="00A03B92" w:rsidRDefault="00A03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F7036"/>
    <w:multiLevelType w:val="multilevel"/>
    <w:tmpl w:val="2006F510"/>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A6304"/>
    <w:rsid w:val="000F5C7B"/>
    <w:rsid w:val="00264E66"/>
    <w:rsid w:val="002703B6"/>
    <w:rsid w:val="004A6304"/>
    <w:rsid w:val="004D04A3"/>
    <w:rsid w:val="00580350"/>
    <w:rsid w:val="009B6FB8"/>
    <w:rsid w:val="00A03B92"/>
    <w:rsid w:val="00B04995"/>
    <w:rsid w:val="00B20B18"/>
    <w:rsid w:val="00CA18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學務</cp:lastModifiedBy>
  <cp:revision>6</cp:revision>
  <cp:lastPrinted>2020-04-24T03:57:00Z</cp:lastPrinted>
  <dcterms:created xsi:type="dcterms:W3CDTF">2020-05-26T01:40:00Z</dcterms:created>
  <dcterms:modified xsi:type="dcterms:W3CDTF">2020-09-09T00:59:00Z</dcterms:modified>
</cp:coreProperties>
</file>